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2" w:rsidRPr="00340B52" w:rsidRDefault="00340B52" w:rsidP="00340B5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40B52">
        <w:rPr>
          <w:rFonts w:ascii="Arial" w:hAnsi="Arial" w:cs="Arial"/>
          <w:color w:val="000000"/>
          <w:sz w:val="24"/>
          <w:szCs w:val="24"/>
        </w:rPr>
        <w:t>Разъяснение по правилам перевозки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детей-пассажиров в легковых автомобилях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Пункт 22.9 ПДД РФ в новой редакции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340B52">
        <w:rPr>
          <w:rFonts w:ascii="Arial" w:hAnsi="Arial" w:cs="Arial"/>
          <w:color w:val="000000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</w:t>
      </w:r>
      <w:proofErr w:type="gramEnd"/>
      <w:r w:rsidRPr="00340B52">
        <w:rPr>
          <w:rFonts w:ascii="Arial" w:hAnsi="Arial" w:cs="Arial"/>
          <w:color w:val="000000"/>
          <w:sz w:val="24"/>
          <w:szCs w:val="24"/>
        </w:rPr>
        <w:t xml:space="preserve"> (устройств), соответствующих весу и росту ребенка.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Таким образом, на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 </w:t>
      </w:r>
      <w:r w:rsidRPr="00340B52">
        <w:rPr>
          <w:rFonts w:ascii="Arial" w:hAnsi="Arial" w:cs="Arial"/>
          <w:color w:val="000000"/>
          <w:sz w:val="24"/>
          <w:szCs w:val="24"/>
        </w:rPr>
        <w:br/>
        <w:t xml:space="preserve">Детей от 7 до 12 лет на заднем сиденье автомобиля разрешено перевозить не только с использованием детских удерживающих устройств, но и с использованием 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трехточечного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штатного ремня безопасности. В данном случае, при выборе пассивных мер безопасности водитель обязательно должен учитывать вес и рост ребенка.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340B52">
        <w:rPr>
          <w:rFonts w:ascii="Arial" w:hAnsi="Arial" w:cs="Arial"/>
          <w:color w:val="000000"/>
          <w:sz w:val="24"/>
          <w:szCs w:val="24"/>
        </w:rPr>
        <w:t>ТР</w:t>
      </w:r>
      <w:proofErr w:type="gramEnd"/>
      <w:r w:rsidRPr="00340B52">
        <w:rPr>
          <w:rFonts w:ascii="Arial" w:hAnsi="Arial" w:cs="Arial"/>
          <w:color w:val="000000"/>
          <w:sz w:val="24"/>
          <w:szCs w:val="24"/>
        </w:rPr>
        <w:t xml:space="preserve">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подныривания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lastRenderedPageBreak/>
        <w:br/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 xml:space="preserve"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</w:t>
      </w:r>
      <w:proofErr w:type="gramStart"/>
      <w:r w:rsidRPr="00340B52">
        <w:rPr>
          <w:rFonts w:ascii="Arial" w:hAnsi="Arial" w:cs="Arial"/>
          <w:color w:val="000000"/>
          <w:sz w:val="24"/>
          <w:szCs w:val="24"/>
        </w:rPr>
        <w:t>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</w:t>
      </w:r>
      <w:proofErr w:type="gramEnd"/>
      <w:r w:rsidRPr="00340B52">
        <w:rPr>
          <w:rFonts w:ascii="Arial" w:hAnsi="Arial" w:cs="Arial"/>
          <w:color w:val="000000"/>
          <w:sz w:val="24"/>
          <w:szCs w:val="24"/>
        </w:rPr>
        <w:t xml:space="preserve">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340B52">
        <w:rPr>
          <w:rFonts w:ascii="Arial" w:hAnsi="Arial" w:cs="Arial"/>
          <w:color w:val="000000"/>
          <w:sz w:val="24"/>
          <w:szCs w:val="24"/>
        </w:rPr>
        <w:t>ии ОО</w:t>
      </w:r>
      <w:proofErr w:type="gramEnd"/>
      <w:r w:rsidRPr="00340B52">
        <w:rPr>
          <w:rFonts w:ascii="Arial" w:hAnsi="Arial" w:cs="Arial"/>
          <w:color w:val="000000"/>
          <w:sz w:val="24"/>
          <w:szCs w:val="24"/>
        </w:rPr>
        <w:t>Н № 44-04 (в общеевропейском обозначении – стандарт безопасности ЕСЕ R 44.04).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r w:rsidRPr="00340B5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340B52">
        <w:rPr>
          <w:rFonts w:ascii="Arial" w:hAnsi="Arial" w:cs="Arial"/>
          <w:color w:val="000000"/>
          <w:sz w:val="24"/>
          <w:szCs w:val="24"/>
        </w:rPr>
        <w:t>Напомним, что единообразные предписания, касающиеся удерживающих устройств для детей, находящихся в механических транспортных средствах содержатся в Государственном стандарте Российской Федерации ГОСТР 41.44-2005, где детские удерживающие устройства подразделяют на пять весовых групп: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1 группа 0 (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0) — для детей массой менее 10 кг;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2 группа 0+ (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0+) — для детей массой менее 13 кг;</w:t>
      </w:r>
      <w:proofErr w:type="gramEnd"/>
      <w:r w:rsidRPr="00340B52">
        <w:rPr>
          <w:rFonts w:ascii="Arial" w:hAnsi="Arial" w:cs="Arial"/>
          <w:color w:val="000000"/>
          <w:sz w:val="24"/>
          <w:szCs w:val="24"/>
        </w:rPr>
        <w:t>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3 группа I (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I) — для детей массой 9-18 кг;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4 группа II (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II) — для детей массой 15-25 кг; </w:t>
      </w:r>
      <w:r w:rsidRPr="00340B52">
        <w:rPr>
          <w:rFonts w:ascii="Arial" w:hAnsi="Arial" w:cs="Arial"/>
          <w:color w:val="000000"/>
          <w:sz w:val="24"/>
          <w:szCs w:val="24"/>
        </w:rPr>
        <w:br/>
        <w:t>5 группа III (</w:t>
      </w:r>
      <w:proofErr w:type="spellStart"/>
      <w:r w:rsidRPr="00340B52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340B52">
        <w:rPr>
          <w:rFonts w:ascii="Arial" w:hAnsi="Arial" w:cs="Arial"/>
          <w:color w:val="000000"/>
          <w:sz w:val="24"/>
          <w:szCs w:val="24"/>
        </w:rPr>
        <w:t xml:space="preserve"> III) — для детей массой 22-36</w:t>
      </w:r>
    </w:p>
    <w:p w:rsidR="00000000" w:rsidRPr="00340B52" w:rsidRDefault="00340B52">
      <w:pPr>
        <w:rPr>
          <w:rFonts w:ascii="Arial" w:hAnsi="Arial" w:cs="Arial"/>
          <w:sz w:val="24"/>
          <w:szCs w:val="24"/>
        </w:rPr>
      </w:pPr>
    </w:p>
    <w:sectPr w:rsidR="00000000" w:rsidRPr="003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40B52"/>
    <w:rsid w:val="0034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2021-03-18T09:52:00Z</dcterms:created>
  <dcterms:modified xsi:type="dcterms:W3CDTF">2021-03-18T09:53:00Z</dcterms:modified>
</cp:coreProperties>
</file>